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4480" w14:textId="3B2A96D2" w:rsidR="007531AB" w:rsidRPr="003D6807" w:rsidRDefault="007531AB" w:rsidP="00162608">
      <w:pPr>
        <w:jc w:val="right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3D680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Приложение № </w:t>
      </w:r>
      <w:r w:rsidR="00A40A4E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2</w:t>
      </w:r>
      <w:r w:rsidR="00DD6767" w:rsidRPr="003D680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.1</w:t>
      </w:r>
    </w:p>
    <w:p w14:paraId="38A0A8EF" w14:textId="77777777" w:rsidR="00054059" w:rsidRPr="003D6807" w:rsidRDefault="00507AFE" w:rsidP="000540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="00054059"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поручительства </w:t>
      </w:r>
    </w:p>
    <w:p w14:paraId="067DA8C7" w14:textId="77777777" w:rsidR="00507AFE" w:rsidRPr="003D6807" w:rsidRDefault="00054059" w:rsidP="000540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</w:t>
      </w:r>
      <w:r w:rsidR="00507AFE"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14:paraId="1DC08681" w14:textId="77777777" w:rsidR="00507AFE" w:rsidRPr="003D6807" w:rsidRDefault="00507AFE" w:rsidP="00507AF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</w:t>
      </w:r>
    </w:p>
    <w:p w14:paraId="30FB2E28" w14:textId="192AD76C" w:rsidR="00507AFE" w:rsidRPr="003D6807" w:rsidRDefault="00507AFE" w:rsidP="00A40A4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807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по </w:t>
      </w:r>
      <w:r w:rsidR="00A40A4E">
        <w:rPr>
          <w:rFonts w:ascii="Times New Roman" w:eastAsia="Times New Roman" w:hAnsi="Times New Roman" w:cs="Times New Roman"/>
          <w:bCs/>
          <w:iCs/>
          <w:sz w:val="20"/>
          <w:szCs w:val="20"/>
        </w:rPr>
        <w:t>договорам займа</w:t>
      </w:r>
    </w:p>
    <w:p w14:paraId="2F2684C8" w14:textId="77777777" w:rsidR="007531AB" w:rsidRPr="003D6807" w:rsidRDefault="007531AB" w:rsidP="007531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3C0B4BC" w14:textId="53F48B39" w:rsidR="007531AB" w:rsidRPr="003D6807" w:rsidDel="00F27D1C" w:rsidRDefault="007531AB" w:rsidP="007531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D6807" w:rsidDel="00F27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ПЕРЕЧЕНЬ ДОКУМЕНТОВ </w:t>
      </w:r>
      <w:r w:rsidR="00120184" w:rsidRPr="003D68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СУБЪЕКТА МСП</w:t>
      </w:r>
      <w:r w:rsidRPr="003D6807" w:rsidDel="00F27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ДЛЯ РАССМОТРЕНИЯ ВОПРОСА О ПРЕДОСТАВЛЕНИИ </w:t>
      </w:r>
      <w:r w:rsidRPr="003D68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ПОРУЧИТЕЛЬСТВА</w:t>
      </w:r>
      <w:r w:rsidR="00E73C9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*</w:t>
      </w:r>
    </w:p>
    <w:p w14:paraId="42E28675" w14:textId="77777777" w:rsidR="007531AB" w:rsidRPr="003D6807" w:rsidRDefault="007531AB" w:rsidP="007531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16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616"/>
        <w:gridCol w:w="1843"/>
        <w:gridCol w:w="1844"/>
      </w:tblGrid>
      <w:tr w:rsidR="007531AB" w:rsidRPr="003D6807" w14:paraId="03538D91" w14:textId="77777777" w:rsidTr="00BC7F7E">
        <w:trPr>
          <w:jc w:val="center"/>
        </w:trPr>
        <w:tc>
          <w:tcPr>
            <w:tcW w:w="711" w:type="dxa"/>
            <w:vMerge w:val="restart"/>
          </w:tcPr>
          <w:p w14:paraId="074D2195" w14:textId="77777777" w:rsidR="007531AB" w:rsidRPr="003D6807" w:rsidRDefault="007531AB" w:rsidP="0050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1616" w:type="dxa"/>
            <w:vMerge w:val="restart"/>
            <w:shd w:val="clear" w:color="auto" w:fill="auto"/>
          </w:tcPr>
          <w:p w14:paraId="350DF3E6" w14:textId="77777777" w:rsidR="007531AB" w:rsidRPr="003D6807" w:rsidRDefault="007531AB" w:rsidP="0050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Документы </w:t>
            </w:r>
          </w:p>
          <w:p w14:paraId="73527CD1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gridSpan w:val="2"/>
          </w:tcPr>
          <w:p w14:paraId="3E8B5BF5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Клиенты</w:t>
            </w:r>
          </w:p>
        </w:tc>
      </w:tr>
      <w:tr w:rsidR="007531AB" w:rsidRPr="003D6807" w14:paraId="14F2C763" w14:textId="77777777" w:rsidTr="00BC7F7E">
        <w:trPr>
          <w:jc w:val="center"/>
        </w:trPr>
        <w:tc>
          <w:tcPr>
            <w:tcW w:w="711" w:type="dxa"/>
            <w:vMerge/>
          </w:tcPr>
          <w:p w14:paraId="376A92B2" w14:textId="77777777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16" w:type="dxa"/>
            <w:vMerge/>
            <w:shd w:val="clear" w:color="auto" w:fill="auto"/>
          </w:tcPr>
          <w:p w14:paraId="0E8A9827" w14:textId="77777777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75FBC058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D6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Микро сегмент</w:t>
            </w:r>
            <w:proofErr w:type="gramEnd"/>
          </w:p>
        </w:tc>
        <w:tc>
          <w:tcPr>
            <w:tcW w:w="1844" w:type="dxa"/>
            <w:shd w:val="clear" w:color="auto" w:fill="auto"/>
          </w:tcPr>
          <w:p w14:paraId="560EE84D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Малый сегмент</w:t>
            </w:r>
          </w:p>
        </w:tc>
      </w:tr>
      <w:tr w:rsidR="007531AB" w:rsidRPr="003D6807" w14:paraId="2291F237" w14:textId="77777777" w:rsidTr="00BC7F7E">
        <w:trPr>
          <w:jc w:val="center"/>
        </w:trPr>
        <w:tc>
          <w:tcPr>
            <w:tcW w:w="711" w:type="dxa"/>
          </w:tcPr>
          <w:p w14:paraId="40D7ECA5" w14:textId="77777777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</w:p>
        </w:tc>
        <w:tc>
          <w:tcPr>
            <w:tcW w:w="11616" w:type="dxa"/>
            <w:shd w:val="clear" w:color="auto" w:fill="auto"/>
          </w:tcPr>
          <w:p w14:paraId="369E3AF4" w14:textId="2773B2EB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Заявка от Субъекта МСП (оригинал)</w:t>
            </w:r>
            <w:r w:rsidR="005517D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(приложение № 1.1)</w:t>
            </w:r>
          </w:p>
        </w:tc>
        <w:tc>
          <w:tcPr>
            <w:tcW w:w="1843" w:type="dxa"/>
            <w:shd w:val="clear" w:color="auto" w:fill="auto"/>
          </w:tcPr>
          <w:p w14:paraId="6F486147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46C8DB4D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3D6807" w14:paraId="22F87F52" w14:textId="77777777" w:rsidTr="00BC7F7E">
        <w:trPr>
          <w:trHeight w:val="132"/>
          <w:jc w:val="center"/>
        </w:trPr>
        <w:tc>
          <w:tcPr>
            <w:tcW w:w="711" w:type="dxa"/>
          </w:tcPr>
          <w:p w14:paraId="5405E845" w14:textId="77777777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</w:t>
            </w:r>
          </w:p>
        </w:tc>
        <w:tc>
          <w:tcPr>
            <w:tcW w:w="11616" w:type="dxa"/>
            <w:shd w:val="clear" w:color="auto" w:fill="auto"/>
          </w:tcPr>
          <w:p w14:paraId="01AC7311" w14:textId="01E5E211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Копия актуального</w:t>
            </w:r>
            <w:r w:rsidRPr="003D6807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zh-CN"/>
              </w:rPr>
              <w:footnoteReference w:id="1"/>
            </w: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заключения подразделения 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Финансовой организации </w:t>
            </w: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по 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установленной </w:t>
            </w: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форме </w:t>
            </w:r>
            <w:r w:rsidR="00A40A4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Финансовой организации</w:t>
            </w:r>
          </w:p>
        </w:tc>
        <w:tc>
          <w:tcPr>
            <w:tcW w:w="1843" w:type="dxa"/>
            <w:shd w:val="clear" w:color="auto" w:fill="auto"/>
          </w:tcPr>
          <w:p w14:paraId="4FC6F80A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1F267F90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3D6807" w14:paraId="0882C662" w14:textId="77777777" w:rsidTr="00BC7F7E">
        <w:trPr>
          <w:trHeight w:val="347"/>
          <w:jc w:val="center"/>
        </w:trPr>
        <w:tc>
          <w:tcPr>
            <w:tcW w:w="711" w:type="dxa"/>
          </w:tcPr>
          <w:p w14:paraId="3239359F" w14:textId="77777777" w:rsidR="007531AB" w:rsidRPr="003D6807" w:rsidRDefault="007531AB" w:rsidP="0023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3</w:t>
            </w:r>
          </w:p>
        </w:tc>
        <w:tc>
          <w:tcPr>
            <w:tcW w:w="11616" w:type="dxa"/>
            <w:shd w:val="clear" w:color="auto" w:fill="auto"/>
          </w:tcPr>
          <w:p w14:paraId="57CADD84" w14:textId="25705C78" w:rsidR="007531AB" w:rsidRPr="003D6807" w:rsidRDefault="007531AB" w:rsidP="00DD67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Формуляр по форме Приложения № </w:t>
            </w:r>
            <w:r w:rsidR="00A40A4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</w:t>
            </w:r>
            <w:r w:rsidR="00DD6767"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.1</w:t>
            </w: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, подписанный уполномоченным лицом </w:t>
            </w:r>
            <w:r w:rsidR="00A40A4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Финансовой организации</w:t>
            </w:r>
          </w:p>
        </w:tc>
        <w:tc>
          <w:tcPr>
            <w:tcW w:w="1843" w:type="dxa"/>
            <w:shd w:val="clear" w:color="auto" w:fill="auto"/>
          </w:tcPr>
          <w:p w14:paraId="1CA0F91B" w14:textId="77777777" w:rsidR="007531AB" w:rsidRPr="003D6807" w:rsidRDefault="007531AB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668146B7" w14:textId="77777777" w:rsidR="007531AB" w:rsidRPr="003D6807" w:rsidRDefault="007531AB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5A5C60CD" w14:textId="77777777" w:rsidTr="00BC7F7E">
        <w:trPr>
          <w:trHeight w:val="891"/>
          <w:jc w:val="center"/>
        </w:trPr>
        <w:tc>
          <w:tcPr>
            <w:tcW w:w="711" w:type="dxa"/>
          </w:tcPr>
          <w:p w14:paraId="1C01404C" w14:textId="77777777" w:rsidR="007531AB" w:rsidRPr="003D6807" w:rsidRDefault="007531AB" w:rsidP="00233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616" w:type="dxa"/>
            <w:shd w:val="clear" w:color="auto" w:fill="auto"/>
          </w:tcPr>
          <w:p w14:paraId="770C5AE7" w14:textId="6450F8B3" w:rsidR="007531AB" w:rsidRPr="003D6807" w:rsidRDefault="007531AB" w:rsidP="00233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Доверенность на сотрудника (-</w:t>
            </w:r>
            <w:proofErr w:type="spellStart"/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ов</w:t>
            </w:r>
            <w:proofErr w:type="spellEnd"/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) </w:t>
            </w:r>
            <w:r w:rsidR="00A40A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Финансовой организации</w:t>
            </w: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, уполномоченных на подписание пакета документов по </w:t>
            </w:r>
            <w:r w:rsidR="00F00206"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З</w:t>
            </w: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аявкам</w:t>
            </w:r>
            <w:r w:rsidR="00120184"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Субъектов МСП</w:t>
            </w: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на </w:t>
            </w:r>
            <w:r w:rsidR="00120184"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получение</w:t>
            </w: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</w:t>
            </w:r>
            <w:r w:rsidR="00120184"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поручительства</w:t>
            </w: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, а также пакета документов в рамках мониторинга Субъекта МСП, направляемых </w:t>
            </w:r>
            <w:r w:rsidR="00A40A4E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Фонду</w:t>
            </w: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, 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подписывается первым лицом или уполномоченным представителем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организации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должен содержать формулировки, наделяющие указанных в нем представителей полномочиями:</w:t>
            </w:r>
          </w:p>
          <w:p w14:paraId="30085212" w14:textId="08441E89" w:rsidR="007531AB" w:rsidRPr="003D6807" w:rsidRDefault="007531AB" w:rsidP="00233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6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подписание от имени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организации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0206"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>аявок</w:t>
            </w:r>
            <w:r w:rsidR="00120184"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Субъектов МСП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 получение </w:t>
            </w:r>
            <w:r w:rsidR="00120184"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>поручительства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 заверение от имени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организации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копий, представляемых в адрес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 на бумажном носителе, в том числе полученных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организацией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Субъекта МСП;</w:t>
            </w:r>
          </w:p>
          <w:p w14:paraId="4A4143A5" w14:textId="232950F0" w:rsidR="007531AB" w:rsidRPr="003D6807" w:rsidRDefault="007531AB" w:rsidP="00233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66" w:firstLine="284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ведение электронного документооборота с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Фондом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сделок, регламентирующих электронный документооборот, включая подписание электронной подписью (усиленной квалифицированной или усиленной неквалифицированной - в зависимости от вида сделки, регламентирующей электронный документооборот) и передачу от имени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организации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адрес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электронных документов, а также на заверение с использованием электронной подписи от имени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организации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копий документов, в том числе полученных </w:t>
            </w:r>
            <w:r w:rsidR="008E090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организацией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Субъекта МСП, присылаемых в адрес </w:t>
            </w:r>
            <w:r w:rsidR="008E0908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форме.</w:t>
            </w:r>
          </w:p>
        </w:tc>
        <w:tc>
          <w:tcPr>
            <w:tcW w:w="1843" w:type="dxa"/>
            <w:shd w:val="clear" w:color="auto" w:fill="auto"/>
          </w:tcPr>
          <w:p w14:paraId="44CCF93E" w14:textId="77777777" w:rsidR="007531AB" w:rsidRPr="003D6807" w:rsidRDefault="007531AB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0682935F" w14:textId="77777777" w:rsidR="007531AB" w:rsidRPr="00EA00B1" w:rsidRDefault="007531AB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3E04861F" w14:textId="77777777" w:rsidTr="00BC7F7E">
        <w:trPr>
          <w:jc w:val="center"/>
        </w:trPr>
        <w:tc>
          <w:tcPr>
            <w:tcW w:w="711" w:type="dxa"/>
          </w:tcPr>
          <w:p w14:paraId="24FA88A4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</w:t>
            </w:r>
          </w:p>
        </w:tc>
        <w:tc>
          <w:tcPr>
            <w:tcW w:w="11616" w:type="dxa"/>
            <w:shd w:val="clear" w:color="auto" w:fill="auto"/>
          </w:tcPr>
          <w:p w14:paraId="3A58D232" w14:textId="1584A9B5" w:rsidR="007531AB" w:rsidRPr="00EA00B1" w:rsidRDefault="007531AB" w:rsidP="00F002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Копия заключения </w:t>
            </w:r>
            <w:r w:rsidR="00F00206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риск-менеджмента по форме </w:t>
            </w:r>
            <w:r w:rsidR="008E090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Финансовой организации</w:t>
            </w: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(если его наличие предусмотрено документами </w:t>
            </w:r>
            <w:r w:rsidR="008E090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Финансовой организации</w:t>
            </w: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C84A11A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07255397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34603139" w14:textId="77777777" w:rsidTr="00BC7F7E">
        <w:trPr>
          <w:jc w:val="center"/>
        </w:trPr>
        <w:tc>
          <w:tcPr>
            <w:tcW w:w="711" w:type="dxa"/>
          </w:tcPr>
          <w:p w14:paraId="4E9A2AED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lastRenderedPageBreak/>
              <w:t>6</w:t>
            </w:r>
          </w:p>
        </w:tc>
        <w:tc>
          <w:tcPr>
            <w:tcW w:w="11616" w:type="dxa"/>
            <w:shd w:val="clear" w:color="auto" w:fill="auto"/>
          </w:tcPr>
          <w:p w14:paraId="0B6DB3DF" w14:textId="6FF9EDC3" w:rsidR="007531AB" w:rsidRPr="00EA00B1" w:rsidRDefault="00120184" w:rsidP="001201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Выписка из протокола 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принят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ом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</w:t>
            </w:r>
            <w:r w:rsidR="007531AB"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решени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и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Уполномоченным органом </w:t>
            </w:r>
            <w:r w:rsidR="008E090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Финансовой организаци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и</w:t>
            </w:r>
            <w:r w:rsidRPr="003E02D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о предоставлении </w:t>
            </w:r>
            <w:r w:rsidR="008E090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займа</w:t>
            </w:r>
            <w:r w:rsidR="007531AB"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с указанием всех условий сделки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A9A2976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5735573A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17E5A096" w14:textId="77777777" w:rsidTr="00BC7F7E">
        <w:trPr>
          <w:jc w:val="center"/>
        </w:trPr>
        <w:tc>
          <w:tcPr>
            <w:tcW w:w="711" w:type="dxa"/>
          </w:tcPr>
          <w:p w14:paraId="694D39C9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7</w:t>
            </w:r>
          </w:p>
        </w:tc>
        <w:tc>
          <w:tcPr>
            <w:tcW w:w="11616" w:type="dxa"/>
            <w:shd w:val="clear" w:color="auto" w:fill="auto"/>
          </w:tcPr>
          <w:p w14:paraId="52AECB4E" w14:textId="4DB4BF56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Проект решения (в случае если решение </w:t>
            </w:r>
            <w:r w:rsidR="008E090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Фонда</w:t>
            </w: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необходимо до решения </w:t>
            </w:r>
            <w:r w:rsidR="008E090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Финансовой организации</w:t>
            </w: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) или подтверждения принятия решения с указанием всех условий со всеми изменениями, вносимыми в решение с момента его принятия до момента направления </w:t>
            </w:r>
            <w:r w:rsidR="008E090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Фонду</w:t>
            </w:r>
          </w:p>
        </w:tc>
        <w:tc>
          <w:tcPr>
            <w:tcW w:w="1843" w:type="dxa"/>
            <w:shd w:val="clear" w:color="auto" w:fill="auto"/>
          </w:tcPr>
          <w:p w14:paraId="16BA4FC6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14:paraId="049309A5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4CB08254" w14:textId="77777777" w:rsidTr="00BC7F7E">
        <w:trPr>
          <w:jc w:val="center"/>
        </w:trPr>
        <w:tc>
          <w:tcPr>
            <w:tcW w:w="711" w:type="dxa"/>
          </w:tcPr>
          <w:p w14:paraId="5F4E6352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</w:t>
            </w:r>
          </w:p>
        </w:tc>
        <w:tc>
          <w:tcPr>
            <w:tcW w:w="11616" w:type="dxa"/>
            <w:shd w:val="clear" w:color="auto" w:fill="auto"/>
          </w:tcPr>
          <w:p w14:paraId="5D452FE8" w14:textId="70BE33FF" w:rsidR="007531AB" w:rsidRPr="00EA00B1" w:rsidRDefault="007531AB" w:rsidP="00DD67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Документы о бенефициарном владельце в соответствии с требованиями Закона № 115-ФЗ 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(Приложение №</w:t>
            </w:r>
            <w:r w:rsidR="008E090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5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24BBF6F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6EFBCB3B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2D004A43" w14:textId="77777777" w:rsidTr="00BC7F7E">
        <w:trPr>
          <w:jc w:val="center"/>
        </w:trPr>
        <w:tc>
          <w:tcPr>
            <w:tcW w:w="711" w:type="dxa"/>
          </w:tcPr>
          <w:p w14:paraId="2A84BFF0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</w:t>
            </w:r>
          </w:p>
        </w:tc>
        <w:tc>
          <w:tcPr>
            <w:tcW w:w="11616" w:type="dxa"/>
            <w:shd w:val="clear" w:color="auto" w:fill="auto"/>
          </w:tcPr>
          <w:p w14:paraId="41C4117C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Копии правоустанавливающих документов Субъекта МСП, в том числе:</w:t>
            </w:r>
          </w:p>
        </w:tc>
        <w:tc>
          <w:tcPr>
            <w:tcW w:w="1843" w:type="dxa"/>
            <w:shd w:val="clear" w:color="auto" w:fill="auto"/>
          </w:tcPr>
          <w:p w14:paraId="19DF9DD6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32B6E1C6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67D0D63E" w14:textId="77777777" w:rsidTr="00BC7F7E">
        <w:trPr>
          <w:jc w:val="center"/>
        </w:trPr>
        <w:tc>
          <w:tcPr>
            <w:tcW w:w="711" w:type="dxa"/>
          </w:tcPr>
          <w:p w14:paraId="7F2DC44D" w14:textId="77777777" w:rsidR="007531AB" w:rsidRPr="00EA00B1" w:rsidRDefault="007531AB" w:rsidP="00BC7F7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9.1</w:t>
            </w:r>
          </w:p>
        </w:tc>
        <w:tc>
          <w:tcPr>
            <w:tcW w:w="11616" w:type="dxa"/>
            <w:shd w:val="clear" w:color="auto" w:fill="auto"/>
          </w:tcPr>
          <w:p w14:paraId="31D869BD" w14:textId="77777777" w:rsidR="00BC7F7E" w:rsidRPr="00BC7F7E" w:rsidRDefault="00BC7F7E" w:rsidP="00BC7F7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1"/>
                <w:sz w:val="25"/>
                <w:szCs w:val="25"/>
                <w:u w:val="single"/>
              </w:rPr>
            </w:pPr>
            <w:r w:rsidRPr="00BC7F7E">
              <w:rPr>
                <w:rFonts w:ascii="Times New Roman" w:eastAsia="Calibri" w:hAnsi="Times New Roman" w:cs="Times New Roman"/>
                <w:color w:val="00000A"/>
                <w:kern w:val="1"/>
                <w:sz w:val="25"/>
                <w:szCs w:val="25"/>
                <w:u w:val="single"/>
              </w:rPr>
              <w:t>для индивидуальных предпринимателей:</w:t>
            </w:r>
          </w:p>
          <w:p w14:paraId="565D56AB" w14:textId="77777777" w:rsidR="00BC7F7E" w:rsidRPr="00BC7F7E" w:rsidRDefault="00BC7F7E" w:rsidP="00BC7F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</w:pPr>
            <w:r w:rsidRPr="00BC7F7E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- паспорт заявителя (все страницы, в т.ч. незаполненные);</w:t>
            </w:r>
          </w:p>
          <w:p w14:paraId="425F154D" w14:textId="55D2C43F" w:rsidR="007531AB" w:rsidRPr="00BC7F7E" w:rsidRDefault="00BC7F7E" w:rsidP="00BC7F7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BC7F7E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- лицензии на право осуществления деятельности, подлежащей лицензированию (в случае их наличия)</w:t>
            </w:r>
            <w:r w:rsidRPr="00BC7F7E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4C0FDEB" w14:textId="77777777" w:rsidR="007531AB" w:rsidRPr="00EA00B1" w:rsidRDefault="007531AB" w:rsidP="00BC7F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0AD9FD23" w14:textId="77777777" w:rsidR="007531AB" w:rsidRPr="00EA00B1" w:rsidRDefault="007531AB" w:rsidP="00BC7F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326BB5D6" w14:textId="77777777" w:rsidTr="00BC7F7E">
        <w:trPr>
          <w:jc w:val="center"/>
        </w:trPr>
        <w:tc>
          <w:tcPr>
            <w:tcW w:w="711" w:type="dxa"/>
          </w:tcPr>
          <w:p w14:paraId="51B80102" w14:textId="77777777" w:rsidR="007531AB" w:rsidRPr="00EA00B1" w:rsidRDefault="007531AB" w:rsidP="00BC7F7E">
            <w:pPr>
              <w:tabs>
                <w:tab w:val="left" w:pos="2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9.2</w:t>
            </w:r>
          </w:p>
        </w:tc>
        <w:tc>
          <w:tcPr>
            <w:tcW w:w="11616" w:type="dxa"/>
            <w:shd w:val="clear" w:color="auto" w:fill="auto"/>
          </w:tcPr>
          <w:p w14:paraId="264AD43C" w14:textId="77777777" w:rsidR="00BC7F7E" w:rsidRPr="00BC7F7E" w:rsidRDefault="00BC7F7E" w:rsidP="00BC7F7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BC7F7E">
              <w:rPr>
                <w:rFonts w:ascii="Times New Roman" w:eastAsia="Calibri" w:hAnsi="Times New Roman" w:cs="Times New Roman"/>
                <w:sz w:val="25"/>
                <w:szCs w:val="25"/>
                <w:u w:val="single"/>
                <w:lang w:eastAsia="zh-CN"/>
              </w:rPr>
              <w:t>для юридических лиц</w:t>
            </w:r>
            <w:r w:rsidRPr="00BC7F7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:</w:t>
            </w:r>
          </w:p>
          <w:p w14:paraId="271E1D9C" w14:textId="77777777" w:rsidR="00BC7F7E" w:rsidRPr="00BC7F7E" w:rsidRDefault="00BC7F7E" w:rsidP="00BC7F7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</w:pPr>
            <w:r w:rsidRPr="00BC7F7E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- устав (в последней редакции);</w:t>
            </w:r>
          </w:p>
          <w:p w14:paraId="4962B533" w14:textId="77777777" w:rsidR="00BC7F7E" w:rsidRPr="00BC7F7E" w:rsidRDefault="00BC7F7E" w:rsidP="00BC7F7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5"/>
                <w:szCs w:val="25"/>
              </w:rPr>
            </w:pPr>
            <w:r w:rsidRPr="00BC7F7E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- </w:t>
            </w:r>
            <w:r w:rsidRPr="00BC7F7E">
              <w:rPr>
                <w:rFonts w:ascii="Times New Roman" w:hAnsi="Times New Roman" w:cs="Times New Roman"/>
                <w:kern w:val="1"/>
                <w:sz w:val="25"/>
                <w:szCs w:val="25"/>
              </w:rPr>
              <w:t>лист записи из Единого государственного реестра юридических лиц о регистрации последней редакции Устава при отсутствии такой записи в предоставленной выписке из ЕГРЮЛ;</w:t>
            </w:r>
          </w:p>
          <w:p w14:paraId="6ACE42F6" w14:textId="77777777" w:rsidR="00BC7F7E" w:rsidRPr="00BC7F7E" w:rsidRDefault="00BC7F7E" w:rsidP="00BC7F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BC7F7E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- документ, подтверждающий полномочия руководителя;</w:t>
            </w:r>
          </w:p>
          <w:p w14:paraId="05EBC49E" w14:textId="77777777" w:rsidR="00BC7F7E" w:rsidRPr="00BC7F7E" w:rsidRDefault="00BC7F7E" w:rsidP="00BC7F7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</w:pPr>
            <w:r w:rsidRPr="00BC7F7E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- копии паспортов учредителей</w:t>
            </w:r>
            <w:r w:rsidRPr="00BC7F7E">
              <w:rPr>
                <w:rFonts w:ascii="Times New Roman" w:hAnsi="Times New Roman" w:cs="Times New Roman"/>
                <w:kern w:val="1"/>
                <w:sz w:val="25"/>
                <w:szCs w:val="25"/>
              </w:rPr>
              <w:t>/участников/акционеров</w:t>
            </w:r>
            <w:r w:rsidRPr="00BC7F7E">
              <w:rPr>
                <w:rFonts w:ascii="Times New Roman" w:hAnsi="Times New Roman" w:cs="Times New Roman"/>
                <w:kern w:val="1"/>
                <w:sz w:val="25"/>
                <w:szCs w:val="25"/>
                <w:vertAlign w:val="superscript"/>
              </w:rPr>
              <w:footnoteReference w:id="2"/>
            </w:r>
            <w:r w:rsidRPr="00BC7F7E">
              <w:rPr>
                <w:rFonts w:ascii="Times New Roman" w:hAnsi="Times New Roman" w:cs="Times New Roman"/>
                <w:kern w:val="1"/>
                <w:sz w:val="25"/>
                <w:szCs w:val="25"/>
              </w:rPr>
              <w:t xml:space="preserve">, </w:t>
            </w:r>
            <w:r w:rsidRPr="00BC7F7E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единоличного исполнительного органа организации (все страницы, в т.ч. незаполненные);</w:t>
            </w:r>
          </w:p>
          <w:p w14:paraId="40E28E95" w14:textId="77777777" w:rsidR="00BC7F7E" w:rsidRPr="00BC7F7E" w:rsidRDefault="00BC7F7E" w:rsidP="00BC7F7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</w:pPr>
            <w:r w:rsidRPr="00BC7F7E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- лицензии на право осуществления деятельности, подлежащей лицензированию (в случае их наличия);</w:t>
            </w:r>
          </w:p>
          <w:p w14:paraId="4E84B1E9" w14:textId="77777777" w:rsidR="00BC7F7E" w:rsidRPr="00BC7F7E" w:rsidRDefault="00BC7F7E" w:rsidP="00BC7F7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</w:pPr>
            <w:r w:rsidRPr="00BC7F7E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- для АО выписку из реестра акционеров на дату не ранее 1 (одного) месяца до даты принятия Заявки Субъекта МСП на предоставление поручительства;</w:t>
            </w:r>
          </w:p>
          <w:p w14:paraId="24361E2D" w14:textId="53AA11EF" w:rsidR="007531AB" w:rsidRPr="00BC7F7E" w:rsidRDefault="00BC7F7E" w:rsidP="00BC7F7E">
            <w:pPr>
              <w:tabs>
                <w:tab w:val="left" w:pos="2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BC7F7E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- решения органов управления и коллегиальных исполнительных органов, подтверждающие право на заключение кредитной и обеспечительной сделок и необходимые одобрения этих сделок, а также на последующий залог (если требуется по Уставу).</w:t>
            </w:r>
          </w:p>
        </w:tc>
        <w:tc>
          <w:tcPr>
            <w:tcW w:w="1843" w:type="dxa"/>
            <w:shd w:val="clear" w:color="auto" w:fill="auto"/>
          </w:tcPr>
          <w:p w14:paraId="4B307259" w14:textId="77777777" w:rsidR="007531AB" w:rsidRPr="00EA00B1" w:rsidRDefault="007531AB" w:rsidP="00BC7F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1C9F9D8C" w14:textId="77777777" w:rsidR="007531AB" w:rsidRPr="00EA00B1" w:rsidRDefault="007531AB" w:rsidP="00BC7F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70626CB4" w14:textId="77777777" w:rsidTr="00BC7F7E">
        <w:trPr>
          <w:jc w:val="center"/>
        </w:trPr>
        <w:tc>
          <w:tcPr>
            <w:tcW w:w="711" w:type="dxa"/>
          </w:tcPr>
          <w:p w14:paraId="64DB52D2" w14:textId="288CD41A" w:rsidR="007531AB" w:rsidRPr="00EA00B1" w:rsidRDefault="007531AB" w:rsidP="00507AF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</w:t>
            </w:r>
            <w:r w:rsidR="00BC7F7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1616" w:type="dxa"/>
            <w:tcBorders>
              <w:bottom w:val="single" w:sz="4" w:space="0" w:color="auto"/>
            </w:tcBorders>
            <w:shd w:val="clear" w:color="auto" w:fill="auto"/>
          </w:tcPr>
          <w:p w14:paraId="4D053E4B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карточка образцов подписей и оттиска печати</w:t>
            </w:r>
            <w:r w:rsidR="00750834"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(по форме Фонда)</w:t>
            </w:r>
          </w:p>
        </w:tc>
        <w:tc>
          <w:tcPr>
            <w:tcW w:w="1843" w:type="dxa"/>
            <w:shd w:val="clear" w:color="auto" w:fill="auto"/>
          </w:tcPr>
          <w:p w14:paraId="5D33B4B0" w14:textId="77777777" w:rsidR="007531AB" w:rsidRPr="00EA00B1" w:rsidRDefault="00120184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23A79DEE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19858773" w14:textId="77777777" w:rsidTr="00BC7F7E">
        <w:trPr>
          <w:jc w:val="center"/>
        </w:trPr>
        <w:tc>
          <w:tcPr>
            <w:tcW w:w="711" w:type="dxa"/>
          </w:tcPr>
          <w:p w14:paraId="0AF12CE8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10.</w:t>
            </w:r>
          </w:p>
        </w:tc>
        <w:tc>
          <w:tcPr>
            <w:tcW w:w="11616" w:type="dxa"/>
            <w:tcBorders>
              <w:bottom w:val="single" w:sz="4" w:space="0" w:color="auto"/>
            </w:tcBorders>
            <w:shd w:val="clear" w:color="auto" w:fill="auto"/>
          </w:tcPr>
          <w:p w14:paraId="615468F7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Копии финансовой отчетности Субъектов МСП, применяющих общую системы налогообложения:</w:t>
            </w:r>
          </w:p>
          <w:p w14:paraId="7E4BBDC5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u w:val="single"/>
                <w:lang w:eastAsia="ru-RU"/>
              </w:rPr>
              <w:t>для юридических лиц</w:t>
            </w: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:</w:t>
            </w:r>
          </w:p>
          <w:p w14:paraId="50677196" w14:textId="77777777" w:rsidR="003D6807" w:rsidRDefault="007531AB" w:rsidP="003D68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бухгалтерский баланс, отчет о финансовых результатах, с подтверждением направления в ФНС за последний год</w:t>
            </w:r>
            <w:r w:rsidR="003D680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;</w:t>
            </w:r>
          </w:p>
          <w:p w14:paraId="2E3EF83C" w14:textId="2B7D5771" w:rsidR="003D6807" w:rsidRPr="00750834" w:rsidRDefault="003D6807" w:rsidP="003D68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lastRenderedPageBreak/>
              <w:t>- оборотно-сальдовые ведомости (ОСВ) к счетам: 60,62,76,66,67,58,01, в разрезе контрагентов и субсчетов, общую оборотно-сальдовую ведомость в разрезе субсчетов при необходимости по запросу специалиста Фонда;</w:t>
            </w:r>
          </w:p>
          <w:p w14:paraId="5D3BF144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налоговая декларация по налогу на прибыль за прошедший год с отметкой ФНС;</w:t>
            </w:r>
          </w:p>
          <w:p w14:paraId="5FA398D0" w14:textId="77777777" w:rsidR="007531AB" w:rsidRPr="00750834" w:rsidRDefault="007531AB" w:rsidP="00750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067B7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промежуточная бухгалтерская отчетность (баланс и отчет о финансовых результатах), заверенная подписью и печатью Субъекта МСП на последнюю квартальную дату</w:t>
            </w:r>
            <w:r w:rsidR="00E37070" w:rsidRPr="00067B7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и предшествующие ей три квартальные даты, кроме завершенного года</w:t>
            </w:r>
            <w:r w:rsidRPr="00067B7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.</w:t>
            </w:r>
          </w:p>
          <w:p w14:paraId="222A5EF9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Аудиторское заключение (либо письмо об отсутствии);</w:t>
            </w:r>
          </w:p>
        </w:tc>
        <w:tc>
          <w:tcPr>
            <w:tcW w:w="1843" w:type="dxa"/>
            <w:shd w:val="clear" w:color="auto" w:fill="auto"/>
          </w:tcPr>
          <w:p w14:paraId="4E8A3027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lastRenderedPageBreak/>
              <w:t xml:space="preserve">+ </w:t>
            </w:r>
          </w:p>
          <w:p w14:paraId="26661CC4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66A4174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  <w:p w14:paraId="255DC61A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</w:p>
        </w:tc>
      </w:tr>
      <w:tr w:rsidR="007531AB" w:rsidRPr="00EA00B1" w14:paraId="65181B8F" w14:textId="77777777" w:rsidTr="00BC7F7E">
        <w:trPr>
          <w:jc w:val="center"/>
        </w:trPr>
        <w:tc>
          <w:tcPr>
            <w:tcW w:w="711" w:type="dxa"/>
          </w:tcPr>
          <w:p w14:paraId="32A9FC81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10.1</w:t>
            </w:r>
          </w:p>
        </w:tc>
        <w:tc>
          <w:tcPr>
            <w:tcW w:w="11616" w:type="dxa"/>
            <w:tcBorders>
              <w:bottom w:val="single" w:sz="4" w:space="0" w:color="auto"/>
            </w:tcBorders>
            <w:shd w:val="clear" w:color="auto" w:fill="auto"/>
          </w:tcPr>
          <w:p w14:paraId="3E489D68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u w:val="single"/>
                <w:lang w:eastAsia="ru-RU"/>
              </w:rPr>
              <w:t>Для юридических лиц и ИП, применяющих упрощенную систему налогообложения:</w:t>
            </w:r>
          </w:p>
          <w:p w14:paraId="02CB6FA2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Декларация по единому налогу/ единому налогу на вмененный доход (за прошедший год);</w:t>
            </w:r>
          </w:p>
          <w:p w14:paraId="51864CF4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оборотно-сальдовые ведомости (ОСВ) к счетам: 60,62,76,66,67,58,01, в разрезе контрагентов и субсчетов, общую оборотно-сальдовую ведомость в разрезе субсчетов при необходимости по запросу специалиста Фонда;</w:t>
            </w:r>
          </w:p>
          <w:p w14:paraId="284301D7" w14:textId="4AA778B2" w:rsidR="007531AB" w:rsidRPr="00067B79" w:rsidRDefault="007531AB" w:rsidP="007508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упрощенная форма баланса (Приложение 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</w:t>
            </w: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) за прошедший го</w:t>
            </w:r>
            <w:r w:rsidR="00E37070"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д,</w:t>
            </w: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на </w:t>
            </w:r>
            <w:r w:rsidR="00E37070"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1-ое число месяца </w:t>
            </w: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дат</w:t>
            </w:r>
            <w:r w:rsidR="00E37070"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ы</w:t>
            </w: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обращения</w:t>
            </w:r>
            <w:r w:rsidR="00E37070"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и аналогичный период прошлого года</w:t>
            </w: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;</w:t>
            </w:r>
          </w:p>
          <w:p w14:paraId="2DAA4D61" w14:textId="73E737E7" w:rsidR="007531AB" w:rsidRPr="00750834" w:rsidRDefault="007531AB" w:rsidP="00E33B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упрощенная форма отчетов о финансовых результатах (Приложение 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7</w:t>
            </w: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) </w:t>
            </w:r>
            <w:r w:rsidR="00E37070"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за прошедший год, на 1-ое число месяца даты обращения и аналогичный период прошлого года;</w:t>
            </w:r>
          </w:p>
        </w:tc>
        <w:tc>
          <w:tcPr>
            <w:tcW w:w="1843" w:type="dxa"/>
            <w:shd w:val="clear" w:color="auto" w:fill="auto"/>
          </w:tcPr>
          <w:p w14:paraId="79674585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09E303DE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 w:eastAsia="zh-CN"/>
              </w:rPr>
              <w:t>+</w:t>
            </w:r>
          </w:p>
        </w:tc>
      </w:tr>
      <w:tr w:rsidR="007531AB" w:rsidRPr="00EA00B1" w14:paraId="737AA5EC" w14:textId="77777777" w:rsidTr="00BC7F7E">
        <w:trPr>
          <w:jc w:val="center"/>
        </w:trPr>
        <w:tc>
          <w:tcPr>
            <w:tcW w:w="711" w:type="dxa"/>
          </w:tcPr>
          <w:p w14:paraId="68E63AD4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10.2</w:t>
            </w:r>
          </w:p>
        </w:tc>
        <w:tc>
          <w:tcPr>
            <w:tcW w:w="11616" w:type="dxa"/>
            <w:tcBorders>
              <w:bottom w:val="single" w:sz="4" w:space="0" w:color="auto"/>
            </w:tcBorders>
            <w:shd w:val="clear" w:color="auto" w:fill="auto"/>
          </w:tcPr>
          <w:p w14:paraId="636BB6D9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Индивидуальные предприниматели, находящиеся на общей системе налогообложения:</w:t>
            </w:r>
          </w:p>
          <w:p w14:paraId="365288E3" w14:textId="77777777" w:rsidR="007531AB" w:rsidRDefault="007531AB" w:rsidP="0075083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- декларация НДФЛ;</w:t>
            </w:r>
          </w:p>
          <w:p w14:paraId="175A2F14" w14:textId="773E200B" w:rsidR="00224778" w:rsidRDefault="00224778" w:rsidP="008E1E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ru-RU"/>
              </w:rPr>
            </w:pPr>
            <w:r w:rsidRPr="00526F4B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-</w:t>
            </w:r>
            <w:r w:rsidRPr="00526F4B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ru-RU"/>
              </w:rPr>
              <w:t xml:space="preserve"> бухгалтерский баланс, отчет о финансовых результатах, с подтверждением направления в ФНС за последний год;</w:t>
            </w:r>
          </w:p>
          <w:p w14:paraId="760B0276" w14:textId="77777777" w:rsidR="003D6807" w:rsidRPr="00750834" w:rsidRDefault="003D6807" w:rsidP="003D68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оборотно-сальдовые ведомости (ОСВ) к счетам: 60,62,76,66,67,58,01, в разрезе контрагентов и субсчетов, общую оборотно-сальдовую ведомость в разрезе субсчетов при необходимости по запросу специалиста Фонда;</w:t>
            </w:r>
          </w:p>
          <w:p w14:paraId="79CCD818" w14:textId="025F9715" w:rsidR="008E1E01" w:rsidRPr="00067B79" w:rsidRDefault="008E1E01" w:rsidP="008E1E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упрощенная форма баланса (Приложение 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</w:t>
            </w: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) за прошедший год, на 1-ое число месяца даты обращения и аналогичный период прошлого года;</w:t>
            </w:r>
          </w:p>
          <w:p w14:paraId="428B1C03" w14:textId="6D65F50D" w:rsidR="008E1E01" w:rsidRDefault="008E1E01" w:rsidP="008E1E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ru-RU"/>
              </w:rPr>
            </w:pP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упрощенная форма отчетов о финан</w:t>
            </w:r>
            <w:r w:rsidR="00CA3A7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совых результатах (Приложение 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7</w:t>
            </w: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) за прошедший год, на 1-ое число месяца даты обращения и аналогичный период прошлого года;</w:t>
            </w:r>
          </w:p>
          <w:p w14:paraId="6DBE6C57" w14:textId="77777777" w:rsidR="007531AB" w:rsidRPr="00224778" w:rsidRDefault="007531AB" w:rsidP="008E1E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- документ, подтверждающий уплату налога.</w:t>
            </w:r>
          </w:p>
        </w:tc>
        <w:tc>
          <w:tcPr>
            <w:tcW w:w="1843" w:type="dxa"/>
            <w:shd w:val="clear" w:color="auto" w:fill="auto"/>
          </w:tcPr>
          <w:p w14:paraId="3D4F29DC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2105B843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021AA496" w14:textId="77777777" w:rsidTr="00BC7F7E">
        <w:trPr>
          <w:jc w:val="center"/>
        </w:trPr>
        <w:tc>
          <w:tcPr>
            <w:tcW w:w="711" w:type="dxa"/>
          </w:tcPr>
          <w:p w14:paraId="433C48CB" w14:textId="77777777" w:rsidR="007531AB" w:rsidRPr="00C42523" w:rsidRDefault="007531AB" w:rsidP="00C4252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11.</w:t>
            </w:r>
          </w:p>
        </w:tc>
        <w:tc>
          <w:tcPr>
            <w:tcW w:w="11616" w:type="dxa"/>
            <w:shd w:val="clear" w:color="auto" w:fill="auto"/>
          </w:tcPr>
          <w:p w14:paraId="7AC16989" w14:textId="3757C2FF" w:rsidR="007531AB" w:rsidRPr="00C42523" w:rsidRDefault="00BC7F7E" w:rsidP="00C4252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Договоры (проекты договоров) на имущество, приобретаемое/ приобретенное в рамках договора микрозайма</w:t>
            </w:r>
            <w:r w:rsidRPr="00C42523">
              <w:rPr>
                <w:rFonts w:ascii="Times New Roman" w:hAnsi="Times New Roman" w:cs="Times New Roman"/>
                <w:bCs/>
                <w:sz w:val="25"/>
                <w:szCs w:val="25"/>
              </w:rPr>
              <w:t>/займа</w:t>
            </w:r>
            <w:r w:rsidRPr="00C42523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, обеспечиваемого поручительством Фонда (при значительном объеме, допускается предоставление реестра договоров, заверенного МФО)</w:t>
            </w:r>
            <w:r w:rsidRPr="00C42523">
              <w:rPr>
                <w:rFonts w:ascii="Times New Roman" w:eastAsia="Arial Unicode MS" w:hAnsi="Times New Roman" w:cs="Times New Roman"/>
                <w:sz w:val="25"/>
                <w:szCs w:val="25"/>
                <w:vertAlign w:val="superscript"/>
                <w:lang w:eastAsia="zh-C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8FAAC25" w14:textId="77777777" w:rsidR="007531AB" w:rsidRPr="00C42523" w:rsidRDefault="007531AB" w:rsidP="00C42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73AAFF8C" w14:textId="77777777" w:rsidR="007531AB" w:rsidRPr="00C42523" w:rsidRDefault="007531AB" w:rsidP="00C42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224778" w:rsidRPr="00EA00B1" w14:paraId="416771D9" w14:textId="77777777" w:rsidTr="00BC7F7E">
        <w:trPr>
          <w:jc w:val="center"/>
        </w:trPr>
        <w:tc>
          <w:tcPr>
            <w:tcW w:w="711" w:type="dxa"/>
          </w:tcPr>
          <w:p w14:paraId="5328B262" w14:textId="77777777" w:rsidR="00224778" w:rsidRPr="00C42523" w:rsidRDefault="00224778" w:rsidP="00C4252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12.</w:t>
            </w:r>
          </w:p>
        </w:tc>
        <w:tc>
          <w:tcPr>
            <w:tcW w:w="11616" w:type="dxa"/>
            <w:shd w:val="clear" w:color="auto" w:fill="auto"/>
          </w:tcPr>
          <w:p w14:paraId="69670BCA" w14:textId="77777777" w:rsidR="00BC7F7E" w:rsidRPr="00C42523" w:rsidRDefault="00BC7F7E" w:rsidP="00C4252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При контрактном характере деятельности Субъекта МСП:</w:t>
            </w:r>
            <w:r w:rsidRPr="00C42523">
              <w:rPr>
                <w:rFonts w:ascii="Times New Roman" w:eastAsia="Arial Unicode MS" w:hAnsi="Times New Roman" w:cs="Times New Roman"/>
                <w:sz w:val="25"/>
                <w:szCs w:val="25"/>
                <w:vertAlign w:val="superscript"/>
                <w:lang w:eastAsia="zh-CN"/>
              </w:rPr>
              <w:t>6</w:t>
            </w:r>
          </w:p>
          <w:p w14:paraId="313C354D" w14:textId="77777777" w:rsidR="00BC7F7E" w:rsidRPr="00C42523" w:rsidRDefault="00BC7F7E" w:rsidP="00C4252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lastRenderedPageBreak/>
              <w:t>- реестр действующих контрактов Субъекта МСП, содержащий информацию об основных условиях контрактов: цене, сроках исполнения, условиях оплаты; а также об объеме выполненных работ, состоянии расчетов в разрезе контрактов;</w:t>
            </w:r>
          </w:p>
          <w:p w14:paraId="5B5033AB" w14:textId="6DD59A8B" w:rsidR="00224778" w:rsidRPr="00C42523" w:rsidRDefault="00BC7F7E" w:rsidP="00C4252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- копии 3-х крупнейших действующих контрактов (за подписью Субъекта МСП)</w:t>
            </w:r>
          </w:p>
        </w:tc>
        <w:tc>
          <w:tcPr>
            <w:tcW w:w="1843" w:type="dxa"/>
            <w:shd w:val="clear" w:color="auto" w:fill="auto"/>
          </w:tcPr>
          <w:p w14:paraId="2EDAFE57" w14:textId="77777777" w:rsidR="00224778" w:rsidRPr="00C42523" w:rsidRDefault="00224778" w:rsidP="00C42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lastRenderedPageBreak/>
              <w:t>+</w:t>
            </w:r>
          </w:p>
        </w:tc>
        <w:tc>
          <w:tcPr>
            <w:tcW w:w="1844" w:type="dxa"/>
            <w:shd w:val="clear" w:color="auto" w:fill="auto"/>
          </w:tcPr>
          <w:p w14:paraId="225C1391" w14:textId="77777777" w:rsidR="00224778" w:rsidRPr="00C42523" w:rsidRDefault="00224778" w:rsidP="00C42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650E8746" w14:textId="77777777" w:rsidTr="00BC7F7E">
        <w:trPr>
          <w:jc w:val="center"/>
        </w:trPr>
        <w:tc>
          <w:tcPr>
            <w:tcW w:w="711" w:type="dxa"/>
          </w:tcPr>
          <w:p w14:paraId="3887794F" w14:textId="77777777" w:rsidR="007531AB" w:rsidRPr="00C42523" w:rsidRDefault="007531AB" w:rsidP="00C4252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1</w:t>
            </w:r>
            <w:r w:rsidR="00224778" w:rsidRPr="00C42523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3</w:t>
            </w:r>
            <w:r w:rsidRPr="00C42523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616" w:type="dxa"/>
            <w:shd w:val="clear" w:color="auto" w:fill="auto"/>
          </w:tcPr>
          <w:p w14:paraId="40459F9F" w14:textId="25FC9B5E" w:rsidR="007531AB" w:rsidRPr="00C60555" w:rsidRDefault="00BC7F7E" w:rsidP="00C4252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C60555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 xml:space="preserve">Справка из ФНС России по форме КНД 1120101, подтверждающая отсутствие у Субъекта МСП просроченной (неурегулированной) задолженности по начисленным налогам, сборам, страховым взносам, пеням, штрафам, процентам  </w:t>
            </w:r>
            <w:r w:rsidRPr="00C60555">
              <w:rPr>
                <w:rFonts w:ascii="Times New Roman" w:hAnsi="Times New Roman" w:cs="Times New Roman"/>
                <w:color w:val="000000" w:themeColor="text1"/>
                <w:kern w:val="1"/>
                <w:sz w:val="25"/>
                <w:szCs w:val="25"/>
              </w:rPr>
              <w:t xml:space="preserve">и иным обязательным платежам в бюджеты </w:t>
            </w:r>
            <w:r w:rsidRPr="00C6055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бюджетной системы Российской Федерации</w:t>
            </w:r>
            <w:r w:rsidRPr="00C60555">
              <w:rPr>
                <w:rFonts w:ascii="Times New Roman" w:hAnsi="Times New Roman" w:cs="Times New Roman"/>
                <w:kern w:val="1"/>
                <w:sz w:val="25"/>
                <w:szCs w:val="25"/>
              </w:rPr>
              <w:t xml:space="preserve">, на актуальную дату (не более 30 (тридцать) дней на дату предоставления поручительства Фонда) или справка из ФНС России по форме КНД 1160082, подтверждающая отсутствие у Субъекта МСП просроченной (неурегулированной) задолженности по начисленным налогам, </w:t>
            </w:r>
            <w:r w:rsidRPr="00C60555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 xml:space="preserve">сборам, страховым взносам, пеням, штрафам, процентам </w:t>
            </w:r>
            <w:r w:rsidRPr="00C60555">
              <w:rPr>
                <w:rFonts w:ascii="Times New Roman" w:hAnsi="Times New Roman" w:cs="Times New Roman"/>
                <w:color w:val="000000" w:themeColor="text1"/>
                <w:kern w:val="1"/>
                <w:sz w:val="25"/>
                <w:szCs w:val="25"/>
              </w:rPr>
              <w:t xml:space="preserve">и иным обязательным платежам в бюджеты </w:t>
            </w:r>
            <w:r w:rsidRPr="00C6055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бюджетной системы Российской Федерации</w:t>
            </w:r>
            <w:r w:rsidRPr="00C60555">
              <w:rPr>
                <w:rFonts w:ascii="Times New Roman" w:hAnsi="Times New Roman" w:cs="Times New Roman"/>
                <w:kern w:val="1"/>
                <w:sz w:val="25"/>
                <w:szCs w:val="25"/>
              </w:rPr>
              <w:t>,</w:t>
            </w:r>
            <w:r w:rsidRPr="00C60555">
              <w:rPr>
                <w:rFonts w:ascii="Times New Roman" w:hAnsi="Times New Roman" w:cs="Times New Roman"/>
                <w:color w:val="FF0000"/>
                <w:kern w:val="1"/>
                <w:sz w:val="25"/>
                <w:szCs w:val="25"/>
              </w:rPr>
              <w:t xml:space="preserve"> </w:t>
            </w:r>
            <w:r w:rsidRPr="00C60555">
              <w:rPr>
                <w:rFonts w:ascii="Times New Roman" w:hAnsi="Times New Roman" w:cs="Times New Roman"/>
                <w:kern w:val="1"/>
                <w:sz w:val="25"/>
                <w:szCs w:val="25"/>
              </w:rPr>
              <w:t>на актуальную дату (не более 30 (тридцать) дней на дату предоставления поручительства Фонда), превышающей 50 тыс. рублей.</w:t>
            </w:r>
            <w:r w:rsidRPr="00C60555">
              <w:rPr>
                <w:rFonts w:ascii="Times New Roman" w:eastAsia="Arial Unicode MS" w:hAnsi="Times New Roman" w:cs="Times New Roman"/>
                <w:sz w:val="25"/>
                <w:szCs w:val="25"/>
                <w:vertAlign w:val="superscript"/>
                <w:lang w:eastAsia="zh-CN"/>
              </w:rPr>
              <w:t xml:space="preserve"> 7</w:t>
            </w:r>
          </w:p>
        </w:tc>
        <w:tc>
          <w:tcPr>
            <w:tcW w:w="1843" w:type="dxa"/>
            <w:shd w:val="clear" w:color="auto" w:fill="auto"/>
          </w:tcPr>
          <w:p w14:paraId="4A095B05" w14:textId="77777777" w:rsidR="007531AB" w:rsidRPr="00C42523" w:rsidRDefault="007531AB" w:rsidP="00C42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14:paraId="63F5BADC" w14:textId="77777777" w:rsidR="007531AB" w:rsidRPr="00C42523" w:rsidRDefault="007531AB" w:rsidP="00C42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BC7F7E" w:rsidRPr="00EA00B1" w14:paraId="5076C923" w14:textId="77777777" w:rsidTr="00BC7F7E">
        <w:trPr>
          <w:jc w:val="center"/>
        </w:trPr>
        <w:tc>
          <w:tcPr>
            <w:tcW w:w="711" w:type="dxa"/>
          </w:tcPr>
          <w:p w14:paraId="79688435" w14:textId="77777777" w:rsidR="00BC7F7E" w:rsidRPr="00C42523" w:rsidRDefault="00BC7F7E" w:rsidP="00C4252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14.</w:t>
            </w:r>
          </w:p>
        </w:tc>
        <w:tc>
          <w:tcPr>
            <w:tcW w:w="11616" w:type="dxa"/>
            <w:shd w:val="clear" w:color="auto" w:fill="auto"/>
          </w:tcPr>
          <w:p w14:paraId="52E8DAAC" w14:textId="5916DA22" w:rsidR="00BC7F7E" w:rsidRPr="00C60555" w:rsidRDefault="00BC7F7E" w:rsidP="00C4252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C60555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Вид на жительство в Российской Федерации (для ИП – иностранных граждан)</w:t>
            </w:r>
          </w:p>
        </w:tc>
        <w:tc>
          <w:tcPr>
            <w:tcW w:w="1843" w:type="dxa"/>
            <w:shd w:val="clear" w:color="auto" w:fill="auto"/>
          </w:tcPr>
          <w:p w14:paraId="4A19D013" w14:textId="77777777" w:rsidR="00BC7F7E" w:rsidRPr="00C42523" w:rsidRDefault="00BC7F7E" w:rsidP="00C42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14:paraId="330E8E53" w14:textId="06C2AA99" w:rsidR="00BC7F7E" w:rsidRPr="00C42523" w:rsidRDefault="00BC7F7E" w:rsidP="00046F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BC7F7E" w:rsidRPr="00EA00B1" w14:paraId="22B90490" w14:textId="77777777" w:rsidTr="00BC7F7E">
        <w:trPr>
          <w:jc w:val="center"/>
        </w:trPr>
        <w:tc>
          <w:tcPr>
            <w:tcW w:w="711" w:type="dxa"/>
          </w:tcPr>
          <w:p w14:paraId="780F2C63" w14:textId="77777777" w:rsidR="00BC7F7E" w:rsidRPr="00C42523" w:rsidRDefault="00BC7F7E" w:rsidP="00C425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C4252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15.</w:t>
            </w:r>
          </w:p>
        </w:tc>
        <w:tc>
          <w:tcPr>
            <w:tcW w:w="11616" w:type="dxa"/>
            <w:shd w:val="clear" w:color="auto" w:fill="auto"/>
          </w:tcPr>
          <w:p w14:paraId="7926C8A6" w14:textId="1306565D" w:rsidR="00BC7F7E" w:rsidRPr="00C60555" w:rsidRDefault="00BC7F7E" w:rsidP="00C4252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C60555">
              <w:rPr>
                <w:rFonts w:ascii="Times New Roman" w:eastAsia="Calibri" w:hAnsi="Times New Roman" w:cs="Times New Roman"/>
                <w:sz w:val="25"/>
                <w:szCs w:val="25"/>
              </w:rPr>
              <w:t>Документы, подтверждающие право собственности на имущество, передаваемое в залог (копии, заверенные залогодателем</w:t>
            </w:r>
            <w:r w:rsidRPr="00C60555">
              <w:rPr>
                <w:rFonts w:ascii="Times New Roman" w:hAnsi="Times New Roman" w:cs="Times New Roman"/>
                <w:sz w:val="25"/>
                <w:szCs w:val="25"/>
              </w:rPr>
              <w:t>/Субъектом МСП/Банком-партнером</w:t>
            </w:r>
            <w:r w:rsidRPr="00C60555">
              <w:rPr>
                <w:rFonts w:ascii="Times New Roman" w:eastAsia="Calibri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FEC7DB7" w14:textId="77777777" w:rsidR="00BC7F7E" w:rsidRPr="00C42523" w:rsidRDefault="00BC7F7E" w:rsidP="00C42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0E9FC799" w14:textId="77777777" w:rsidR="00BC7F7E" w:rsidRPr="00C42523" w:rsidRDefault="00BC7F7E" w:rsidP="00C42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BC7F7E" w:rsidRPr="00EA00B1" w14:paraId="0BBAF973" w14:textId="77777777" w:rsidTr="00BC7F7E">
        <w:trPr>
          <w:jc w:val="center"/>
        </w:trPr>
        <w:tc>
          <w:tcPr>
            <w:tcW w:w="711" w:type="dxa"/>
          </w:tcPr>
          <w:p w14:paraId="2EF0C2D5" w14:textId="77777777" w:rsidR="00BC7F7E" w:rsidRPr="00C42523" w:rsidRDefault="00BC7F7E" w:rsidP="00C4252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16.</w:t>
            </w:r>
          </w:p>
        </w:tc>
        <w:tc>
          <w:tcPr>
            <w:tcW w:w="11616" w:type="dxa"/>
            <w:shd w:val="clear" w:color="auto" w:fill="auto"/>
          </w:tcPr>
          <w:p w14:paraId="656F39E5" w14:textId="2FE373B6" w:rsidR="00BC7F7E" w:rsidRPr="00C60555" w:rsidRDefault="00BC7F7E" w:rsidP="00C4252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60555">
              <w:rPr>
                <w:rFonts w:ascii="Times New Roman" w:hAnsi="Times New Roman" w:cs="Times New Roman"/>
                <w:sz w:val="25"/>
                <w:szCs w:val="25"/>
              </w:rPr>
              <w:t xml:space="preserve">Согласие на обработку персональных данных </w:t>
            </w:r>
            <w:r w:rsidRPr="00C60555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учредителей</w:t>
            </w:r>
            <w:r w:rsidRPr="00C60555">
              <w:rPr>
                <w:rFonts w:ascii="Times New Roman" w:hAnsi="Times New Roman" w:cs="Times New Roman"/>
                <w:kern w:val="1"/>
                <w:sz w:val="25"/>
                <w:szCs w:val="25"/>
              </w:rPr>
              <w:t xml:space="preserve">/участников/акционеров, </w:t>
            </w:r>
            <w:r w:rsidRPr="00C60555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единоличного исполнительного органа организации, поручителей физических лиц</w:t>
            </w:r>
            <w:r w:rsidRPr="00C6055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60555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(по форме Фонда)</w:t>
            </w:r>
          </w:p>
        </w:tc>
        <w:tc>
          <w:tcPr>
            <w:tcW w:w="1843" w:type="dxa"/>
            <w:shd w:val="clear" w:color="auto" w:fill="auto"/>
          </w:tcPr>
          <w:p w14:paraId="770D0232" w14:textId="77777777" w:rsidR="00BC7F7E" w:rsidRPr="00C42523" w:rsidRDefault="00BC7F7E" w:rsidP="00C42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491A299B" w14:textId="77777777" w:rsidR="00BC7F7E" w:rsidRPr="00C42523" w:rsidRDefault="00BC7F7E" w:rsidP="00C42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</w:tr>
      <w:tr w:rsidR="00BC7F7E" w:rsidRPr="00EA00B1" w14:paraId="60953D93" w14:textId="77777777" w:rsidTr="00BC7F7E">
        <w:trPr>
          <w:jc w:val="center"/>
        </w:trPr>
        <w:tc>
          <w:tcPr>
            <w:tcW w:w="711" w:type="dxa"/>
          </w:tcPr>
          <w:p w14:paraId="1F0077F6" w14:textId="77777777" w:rsidR="00BC7F7E" w:rsidRPr="00C42523" w:rsidRDefault="00BC7F7E" w:rsidP="00C425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17.</w:t>
            </w:r>
          </w:p>
        </w:tc>
        <w:tc>
          <w:tcPr>
            <w:tcW w:w="11616" w:type="dxa"/>
            <w:shd w:val="clear" w:color="auto" w:fill="auto"/>
          </w:tcPr>
          <w:p w14:paraId="7006E145" w14:textId="3D79B218" w:rsidR="00BC7F7E" w:rsidRPr="00C60555" w:rsidRDefault="00BC7F7E" w:rsidP="00C425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C60555">
              <w:rPr>
                <w:rFonts w:ascii="Times New Roman" w:hAnsi="Times New Roman" w:cs="Times New Roman"/>
                <w:sz w:val="25"/>
                <w:szCs w:val="25"/>
              </w:rPr>
              <w:t xml:space="preserve">Согласие на получение кредитного отчета </w:t>
            </w:r>
            <w:r w:rsidRPr="00C60555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учредителей</w:t>
            </w:r>
            <w:r w:rsidRPr="00C60555">
              <w:rPr>
                <w:rFonts w:ascii="Times New Roman" w:hAnsi="Times New Roman" w:cs="Times New Roman"/>
                <w:kern w:val="1"/>
                <w:sz w:val="25"/>
                <w:szCs w:val="25"/>
              </w:rPr>
              <w:t xml:space="preserve">/участников/акционеров, </w:t>
            </w:r>
            <w:r w:rsidRPr="00C60555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единоличного исполнительного органа организации, поручителей (по форме Фонда)</w:t>
            </w:r>
          </w:p>
        </w:tc>
        <w:tc>
          <w:tcPr>
            <w:tcW w:w="1843" w:type="dxa"/>
            <w:shd w:val="clear" w:color="auto" w:fill="auto"/>
          </w:tcPr>
          <w:p w14:paraId="52FD0A27" w14:textId="77777777" w:rsidR="00BC7F7E" w:rsidRPr="00C42523" w:rsidRDefault="00BC7F7E" w:rsidP="00C42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507B5E32" w14:textId="77777777" w:rsidR="00BC7F7E" w:rsidRPr="00C42523" w:rsidRDefault="00BC7F7E" w:rsidP="00C42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+ </w:t>
            </w:r>
          </w:p>
          <w:p w14:paraId="27D990D0" w14:textId="77777777" w:rsidR="00BC7F7E" w:rsidRPr="00C42523" w:rsidRDefault="00BC7F7E" w:rsidP="00C42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750834" w:rsidRPr="00EA00B1" w14:paraId="7E887530" w14:textId="77777777" w:rsidTr="00BC7F7E">
        <w:trPr>
          <w:jc w:val="center"/>
        </w:trPr>
        <w:tc>
          <w:tcPr>
            <w:tcW w:w="711" w:type="dxa"/>
          </w:tcPr>
          <w:p w14:paraId="58680B37" w14:textId="77777777" w:rsidR="00750834" w:rsidRPr="00C42523" w:rsidRDefault="00750834" w:rsidP="00C425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  <w:r w:rsidR="00224778" w:rsidRPr="00C4252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</w:t>
            </w:r>
            <w:r w:rsidRPr="00C4252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616" w:type="dxa"/>
            <w:shd w:val="clear" w:color="auto" w:fill="auto"/>
          </w:tcPr>
          <w:p w14:paraId="2A831C84" w14:textId="77777777" w:rsidR="00750834" w:rsidRPr="00C42523" w:rsidRDefault="00750834" w:rsidP="00C425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Копии иных документов и пояснения по заявке по мотивированному запросу Фонда/Корпорации</w:t>
            </w:r>
          </w:p>
        </w:tc>
        <w:tc>
          <w:tcPr>
            <w:tcW w:w="1843" w:type="dxa"/>
            <w:shd w:val="clear" w:color="auto" w:fill="auto"/>
          </w:tcPr>
          <w:p w14:paraId="02E9BE23" w14:textId="77777777" w:rsidR="00750834" w:rsidRPr="00C42523" w:rsidRDefault="006304E6" w:rsidP="00C42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C4252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5C2FF172" w14:textId="77777777" w:rsidR="00750834" w:rsidRPr="00046F3F" w:rsidRDefault="00750834" w:rsidP="00C42523">
            <w:pPr>
              <w:suppressAutoHyphens/>
              <w:spacing w:after="0" w:line="240" w:lineRule="auto"/>
              <w:ind w:left="-109" w:right="-107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046F3F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+ </w:t>
            </w:r>
          </w:p>
          <w:p w14:paraId="364E8D1D" w14:textId="77777777" w:rsidR="00750834" w:rsidRPr="00C42523" w:rsidRDefault="00750834" w:rsidP="00C42523">
            <w:pPr>
              <w:suppressAutoHyphens/>
              <w:spacing w:after="0" w:line="240" w:lineRule="auto"/>
              <w:ind w:left="-109" w:right="-107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46F3F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(вопросы и пояснения по Заявке Субъекта МСП)</w:t>
            </w:r>
          </w:p>
        </w:tc>
      </w:tr>
    </w:tbl>
    <w:p w14:paraId="5404A29B" w14:textId="77777777" w:rsidR="006F077D" w:rsidRDefault="006F077D" w:rsidP="007531A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02511C1" w14:textId="38EC92B4" w:rsidR="006F077D" w:rsidRPr="000243EF" w:rsidRDefault="006F077D" w:rsidP="006F077D">
      <w:pPr>
        <w:pStyle w:val="ConsPlusNormal"/>
        <w:rPr>
          <w:rFonts w:eastAsia="Calibri"/>
          <w:bCs/>
          <w:lang w:eastAsia="ru-RU"/>
        </w:rPr>
      </w:pPr>
      <w:r w:rsidRPr="004E34A5">
        <w:rPr>
          <w:rFonts w:eastAsia="Calibri"/>
          <w:bCs/>
          <w:sz w:val="20"/>
          <w:szCs w:val="20"/>
          <w:vertAlign w:val="superscript"/>
          <w:lang w:eastAsia="ru-RU"/>
        </w:rPr>
        <w:t xml:space="preserve">6 </w:t>
      </w:r>
      <w:r w:rsidRPr="004E34A5">
        <w:rPr>
          <w:rFonts w:eastAsia="Calibri"/>
          <w:bCs/>
          <w:lang w:eastAsia="ru-RU"/>
        </w:rPr>
        <w:t xml:space="preserve">Допускается принятие решения о предоставлении поручительства Фондом без предоставления данной справки с отлагательным условием предоставления актуальной справки до выдачи поручительства Фондом. Допускается предоставление Субъектом МСП или </w:t>
      </w:r>
      <w:r w:rsidR="001A227A">
        <w:rPr>
          <w:rFonts w:eastAsia="Calibri"/>
          <w:bCs/>
          <w:lang w:eastAsia="ru-RU"/>
        </w:rPr>
        <w:t xml:space="preserve">Финансовой организацией </w:t>
      </w:r>
      <w:r w:rsidRPr="004E34A5">
        <w:rPr>
          <w:rFonts w:eastAsia="Calibri"/>
          <w:bCs/>
          <w:lang w:eastAsia="ru-RU"/>
        </w:rPr>
        <w:t>справки из ФНС России в электронном виде, подписанной усиленной квалифицированной электронной подписью уполномоченного работника ФНС</w:t>
      </w:r>
      <w:r w:rsidR="00E21076" w:rsidRPr="004E34A5">
        <w:rPr>
          <w:rFonts w:eastAsia="Calibri"/>
          <w:bCs/>
          <w:lang w:eastAsia="ru-RU"/>
        </w:rPr>
        <w:t xml:space="preserve"> России</w:t>
      </w:r>
      <w:r w:rsidRPr="004E34A5">
        <w:rPr>
          <w:rFonts w:eastAsia="Calibri"/>
          <w:bCs/>
          <w:lang w:eastAsia="ru-RU"/>
        </w:rPr>
        <w:t>, с приложением сертификата такой электронной подписи.</w:t>
      </w:r>
    </w:p>
    <w:p w14:paraId="4926E6D0" w14:textId="0C1E0DFF" w:rsidR="007531AB" w:rsidRPr="006F077D" w:rsidRDefault="007531AB" w:rsidP="006F077D">
      <w:pPr>
        <w:tabs>
          <w:tab w:val="left" w:pos="3675"/>
        </w:tabs>
        <w:rPr>
          <w:rFonts w:ascii="Calibri" w:eastAsia="Calibri" w:hAnsi="Calibri" w:cs="Times New Roman"/>
        </w:rPr>
        <w:sectPr w:rsidR="007531AB" w:rsidRPr="006F077D" w:rsidSect="00224778">
          <w:footerReference w:type="default" r:id="rId7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7471A143" w14:textId="77777777" w:rsidR="00661451" w:rsidRPr="007531AB" w:rsidRDefault="00661451" w:rsidP="00F00206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61451" w:rsidRPr="0075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FD59C" w14:textId="77777777" w:rsidR="00E73D38" w:rsidRDefault="00E73D38" w:rsidP="007531AB">
      <w:pPr>
        <w:spacing w:after="0" w:line="240" w:lineRule="auto"/>
      </w:pPr>
      <w:r>
        <w:separator/>
      </w:r>
    </w:p>
  </w:endnote>
  <w:endnote w:type="continuationSeparator" w:id="0">
    <w:p w14:paraId="0774E35F" w14:textId="77777777" w:rsidR="00E73D38" w:rsidRDefault="00E73D38" w:rsidP="0075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2380566"/>
      <w:docPartObj>
        <w:docPartGallery w:val="Page Numbers (Bottom of Page)"/>
        <w:docPartUnique/>
      </w:docPartObj>
    </w:sdtPr>
    <w:sdtContent>
      <w:p w14:paraId="0A1E954D" w14:textId="3F0F1BA7" w:rsidR="009345F3" w:rsidRDefault="009345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2CF6C" w14:textId="77777777" w:rsidR="009345F3" w:rsidRDefault="009345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B95D6" w14:textId="77777777" w:rsidR="00E73D38" w:rsidRDefault="00E73D38" w:rsidP="007531AB">
      <w:pPr>
        <w:spacing w:after="0" w:line="240" w:lineRule="auto"/>
      </w:pPr>
      <w:r>
        <w:separator/>
      </w:r>
    </w:p>
  </w:footnote>
  <w:footnote w:type="continuationSeparator" w:id="0">
    <w:p w14:paraId="53A3E136" w14:textId="77777777" w:rsidR="00E73D38" w:rsidRDefault="00E73D38" w:rsidP="007531AB">
      <w:pPr>
        <w:spacing w:after="0" w:line="240" w:lineRule="auto"/>
      </w:pPr>
      <w:r>
        <w:continuationSeparator/>
      </w:r>
    </w:p>
  </w:footnote>
  <w:footnote w:id="1">
    <w:p w14:paraId="678DF527" w14:textId="77777777" w:rsidR="00E73C9E" w:rsidRDefault="00E73C9E" w:rsidP="00E73C9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возможно предоставление перечня документов как в бумажном варианте, так и посредством автоматизированных систем электронного документооборота.</w:t>
      </w:r>
    </w:p>
    <w:p w14:paraId="5D5090CC" w14:textId="0D45A533" w:rsidR="007531AB" w:rsidRPr="00EA00B1" w:rsidRDefault="007531AB" w:rsidP="007531AB">
      <w:pPr>
        <w:pStyle w:val="a3"/>
        <w:rPr>
          <w:rFonts w:ascii="Times New Roman" w:hAnsi="Times New Roman" w:cs="Times New Roman"/>
        </w:rPr>
      </w:pPr>
      <w:r w:rsidRPr="00EA00B1">
        <w:rPr>
          <w:rStyle w:val="a5"/>
          <w:rFonts w:ascii="Times New Roman" w:hAnsi="Times New Roman" w:cs="Times New Roman"/>
        </w:rPr>
        <w:footnoteRef/>
      </w:r>
      <w:r w:rsidRPr="00EA00B1">
        <w:rPr>
          <w:rFonts w:ascii="Times New Roman" w:hAnsi="Times New Roman" w:cs="Times New Roman"/>
        </w:rPr>
        <w:t xml:space="preserve"> </w:t>
      </w:r>
      <w:r w:rsidR="001A227A">
        <w:rPr>
          <w:rFonts w:ascii="Times New Roman" w:hAnsi="Times New Roman" w:cs="Times New Roman"/>
        </w:rPr>
        <w:t>З</w:t>
      </w:r>
      <w:r w:rsidRPr="00EA00B1">
        <w:rPr>
          <w:rFonts w:ascii="Times New Roman" w:hAnsi="Times New Roman" w:cs="Times New Roman"/>
        </w:rPr>
        <w:t xml:space="preserve">аключение признается актуальным в случаях, когда дата отчетности, используемая в заключении. не старше 6-ти месяцев даты направления </w:t>
      </w:r>
      <w:r>
        <w:rPr>
          <w:rFonts w:ascii="Times New Roman" w:hAnsi="Times New Roman" w:cs="Times New Roman"/>
        </w:rPr>
        <w:t>Фонду Заявки на получение Поручительства</w:t>
      </w:r>
      <w:r w:rsidRPr="00EA00B1">
        <w:rPr>
          <w:rFonts w:ascii="Times New Roman" w:hAnsi="Times New Roman" w:cs="Times New Roman"/>
        </w:rPr>
        <w:t xml:space="preserve">. </w:t>
      </w:r>
    </w:p>
  </w:footnote>
  <w:footnote w:id="2">
    <w:p w14:paraId="3E7ED2F1" w14:textId="77777777" w:rsidR="00BC7F7E" w:rsidRDefault="00BC7F7E" w:rsidP="00BC7F7E">
      <w:pPr>
        <w:pStyle w:val="ConsPlusNormal"/>
        <w:rPr>
          <w:rFonts w:eastAsia="Calibri"/>
          <w:bCs/>
          <w:sz w:val="20"/>
          <w:szCs w:val="20"/>
          <w:lang w:eastAsia="ru-RU"/>
        </w:rPr>
      </w:pPr>
      <w:r w:rsidRPr="00690368">
        <w:rPr>
          <w:rStyle w:val="a5"/>
          <w:sz w:val="20"/>
          <w:szCs w:val="20"/>
        </w:rPr>
        <w:footnoteRef/>
      </w:r>
      <w:r w:rsidRPr="00690368">
        <w:rPr>
          <w:sz w:val="20"/>
          <w:szCs w:val="20"/>
        </w:rPr>
        <w:t>В случаях, если Заемщиком владеет 10 и более физических лиц, достаточно предоставление копий паспортов лиц, суммарная доля владения/участия которых составляет 51</w:t>
      </w:r>
      <w:proofErr w:type="gramStart"/>
      <w:r w:rsidRPr="00690368">
        <w:rPr>
          <w:sz w:val="20"/>
          <w:szCs w:val="20"/>
        </w:rPr>
        <w:t>%.</w:t>
      </w:r>
      <w:r w:rsidRPr="00690368">
        <w:rPr>
          <w:rFonts w:eastAsia="Calibri"/>
          <w:bCs/>
          <w:sz w:val="20"/>
          <w:szCs w:val="20"/>
          <w:lang w:eastAsia="ru-RU"/>
        </w:rPr>
        <w:t>а</w:t>
      </w:r>
      <w:proofErr w:type="gramEnd"/>
      <w:r w:rsidRPr="00690368">
        <w:rPr>
          <w:rFonts w:eastAsia="Calibri"/>
          <w:bCs/>
          <w:sz w:val="20"/>
          <w:szCs w:val="20"/>
          <w:lang w:eastAsia="ru-RU"/>
        </w:rPr>
        <w:t xml:space="preserve"> в случаи наличия учредителя/участника/акционера на которого распространяется законодательство иностранного государства о налогообложении иностранных счетов, более 10% от доли участия.</w:t>
      </w:r>
    </w:p>
    <w:p w14:paraId="226F4E94" w14:textId="77777777" w:rsidR="00BC7F7E" w:rsidRDefault="00BC7F7E" w:rsidP="00BC7F7E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27BB6"/>
    <w:multiLevelType w:val="hybridMultilevel"/>
    <w:tmpl w:val="35126D40"/>
    <w:lvl w:ilvl="0" w:tplc="C11E3FE6">
      <w:start w:val="1"/>
      <w:numFmt w:val="decimal"/>
      <w:lvlText w:val="%1)"/>
      <w:lvlJc w:val="left"/>
      <w:pPr>
        <w:ind w:left="1069" w:hanging="360"/>
      </w:pPr>
      <w:rPr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621303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AB"/>
    <w:rsid w:val="00046F3F"/>
    <w:rsid w:val="00054059"/>
    <w:rsid w:val="00067B79"/>
    <w:rsid w:val="00076CC3"/>
    <w:rsid w:val="000976D8"/>
    <w:rsid w:val="000E201B"/>
    <w:rsid w:val="000E6CD2"/>
    <w:rsid w:val="00112232"/>
    <w:rsid w:val="00120184"/>
    <w:rsid w:val="00131B1E"/>
    <w:rsid w:val="00162608"/>
    <w:rsid w:val="001A227A"/>
    <w:rsid w:val="001C24F9"/>
    <w:rsid w:val="002037A6"/>
    <w:rsid w:val="00205113"/>
    <w:rsid w:val="00206CE4"/>
    <w:rsid w:val="00224778"/>
    <w:rsid w:val="00232E9E"/>
    <w:rsid w:val="0023391B"/>
    <w:rsid w:val="00267BBB"/>
    <w:rsid w:val="002C3661"/>
    <w:rsid w:val="0039544F"/>
    <w:rsid w:val="003D6807"/>
    <w:rsid w:val="003E02DE"/>
    <w:rsid w:val="003E1215"/>
    <w:rsid w:val="00430562"/>
    <w:rsid w:val="00447FDF"/>
    <w:rsid w:val="00492935"/>
    <w:rsid w:val="004B1D4C"/>
    <w:rsid w:val="004E34A5"/>
    <w:rsid w:val="00507AFE"/>
    <w:rsid w:val="00525328"/>
    <w:rsid w:val="00526F4B"/>
    <w:rsid w:val="00531384"/>
    <w:rsid w:val="005404DD"/>
    <w:rsid w:val="005517D9"/>
    <w:rsid w:val="0059226C"/>
    <w:rsid w:val="005E4AA3"/>
    <w:rsid w:val="006304E6"/>
    <w:rsid w:val="0064200F"/>
    <w:rsid w:val="00661451"/>
    <w:rsid w:val="006D707C"/>
    <w:rsid w:val="006E0D82"/>
    <w:rsid w:val="006E7219"/>
    <w:rsid w:val="006F077D"/>
    <w:rsid w:val="00750834"/>
    <w:rsid w:val="007531AB"/>
    <w:rsid w:val="007A6CEA"/>
    <w:rsid w:val="007C7E38"/>
    <w:rsid w:val="007F748B"/>
    <w:rsid w:val="008012E9"/>
    <w:rsid w:val="00853B42"/>
    <w:rsid w:val="008A7435"/>
    <w:rsid w:val="008E0908"/>
    <w:rsid w:val="008E099E"/>
    <w:rsid w:val="008E1E01"/>
    <w:rsid w:val="00900508"/>
    <w:rsid w:val="0092128B"/>
    <w:rsid w:val="009345F3"/>
    <w:rsid w:val="00960525"/>
    <w:rsid w:val="009B7C6F"/>
    <w:rsid w:val="009D4D4B"/>
    <w:rsid w:val="00A40A4E"/>
    <w:rsid w:val="00A87960"/>
    <w:rsid w:val="00AD60E7"/>
    <w:rsid w:val="00B22C86"/>
    <w:rsid w:val="00B46E72"/>
    <w:rsid w:val="00BC7116"/>
    <w:rsid w:val="00BC7F7E"/>
    <w:rsid w:val="00C21B0F"/>
    <w:rsid w:val="00C42523"/>
    <w:rsid w:val="00C60555"/>
    <w:rsid w:val="00C71D9B"/>
    <w:rsid w:val="00CA3A74"/>
    <w:rsid w:val="00CD047B"/>
    <w:rsid w:val="00D9353D"/>
    <w:rsid w:val="00D948B8"/>
    <w:rsid w:val="00DB60DC"/>
    <w:rsid w:val="00DC604B"/>
    <w:rsid w:val="00DD6767"/>
    <w:rsid w:val="00DE17CD"/>
    <w:rsid w:val="00DF5A73"/>
    <w:rsid w:val="00E057A0"/>
    <w:rsid w:val="00E21076"/>
    <w:rsid w:val="00E33BBF"/>
    <w:rsid w:val="00E37070"/>
    <w:rsid w:val="00E40E88"/>
    <w:rsid w:val="00E5616A"/>
    <w:rsid w:val="00E73C9E"/>
    <w:rsid w:val="00E73D38"/>
    <w:rsid w:val="00E82351"/>
    <w:rsid w:val="00E860F1"/>
    <w:rsid w:val="00EB15AC"/>
    <w:rsid w:val="00F00206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B6CC"/>
  <w15:docId w15:val="{E9645517-3E79-4BCB-A6A5-C388C5A5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1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1AB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7531AB"/>
    <w:rPr>
      <w:vertAlign w:val="superscript"/>
    </w:rPr>
  </w:style>
  <w:style w:type="paragraph" w:customStyle="1" w:styleId="ConsPlusNormal">
    <w:name w:val="ConsPlusNormal"/>
    <w:rsid w:val="007531A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4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5F3"/>
  </w:style>
  <w:style w:type="paragraph" w:styleId="a8">
    <w:name w:val="footer"/>
    <w:basedOn w:val="a"/>
    <w:link w:val="a9"/>
    <w:uiPriority w:val="99"/>
    <w:unhideWhenUsed/>
    <w:rsid w:val="00934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5F3"/>
  </w:style>
  <w:style w:type="character" w:customStyle="1" w:styleId="1">
    <w:name w:val="Текст сноски Знак1"/>
    <w:basedOn w:val="a0"/>
    <w:uiPriority w:val="99"/>
    <w:semiHidden/>
    <w:rsid w:val="00BC7F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Фонд Гарантийный</cp:lastModifiedBy>
  <cp:revision>12</cp:revision>
  <cp:lastPrinted>2021-05-20T09:05:00Z</cp:lastPrinted>
  <dcterms:created xsi:type="dcterms:W3CDTF">2021-07-02T11:04:00Z</dcterms:created>
  <dcterms:modified xsi:type="dcterms:W3CDTF">2024-07-01T09:54:00Z</dcterms:modified>
</cp:coreProperties>
</file>